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11"/>
        <w:tblW w:w="9350" w:type="dxa"/>
        <w:tblLayout w:type="fixed"/>
        <w:tblLook w:val="04A0" w:firstRow="1" w:lastRow="0" w:firstColumn="1" w:lastColumn="0" w:noHBand="0" w:noVBand="1"/>
      </w:tblPr>
      <w:tblGrid>
        <w:gridCol w:w="4122"/>
        <w:gridCol w:w="5228"/>
      </w:tblGrid>
      <w:tr w:rsidR="007A4BFE" w:rsidRPr="007A4BFE" w14:paraId="68FC3BD1" w14:textId="77777777" w:rsidTr="00EA770F">
        <w:trPr>
          <w:trHeight w:val="483"/>
        </w:trPr>
        <w:tc>
          <w:tcPr>
            <w:tcW w:w="9322" w:type="dxa"/>
            <w:gridSpan w:val="2"/>
          </w:tcPr>
          <w:p w14:paraId="5E010A7D" w14:textId="77777777" w:rsidR="007A4BFE" w:rsidRPr="00B04FA5" w:rsidRDefault="007A4BFE" w:rsidP="007A4BFE">
            <w:pPr>
              <w:keepNext/>
              <w:jc w:val="center"/>
              <w:outlineLvl w:val="4"/>
              <w:rPr>
                <w:rFonts w:eastAsia="Calibri" w:cstheme="minorHAnsi"/>
                <w:b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Informačný list predmetu</w:t>
            </w:r>
          </w:p>
        </w:tc>
      </w:tr>
      <w:tr w:rsidR="007A4BFE" w:rsidRPr="007A4BFE" w14:paraId="382D6975" w14:textId="77777777" w:rsidTr="0053140C">
        <w:tblPrEx>
          <w:tblLook w:val="00A0" w:firstRow="1" w:lastRow="0" w:firstColumn="1" w:lastColumn="0" w:noHBand="0" w:noVBand="0"/>
        </w:tblPrEx>
        <w:trPr>
          <w:trHeight w:val="347"/>
        </w:trPr>
        <w:tc>
          <w:tcPr>
            <w:tcW w:w="9322" w:type="dxa"/>
            <w:gridSpan w:val="2"/>
          </w:tcPr>
          <w:p w14:paraId="2F8FBC09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Vysoká škola: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Vysoká škola zdravotníctva a sociálnej práce sv. Alžbety v  Bratislave</w:t>
            </w:r>
          </w:p>
        </w:tc>
      </w:tr>
      <w:tr w:rsidR="007A4BFE" w:rsidRPr="007A4BFE" w14:paraId="6CCB7B74" w14:textId="77777777" w:rsidTr="0053140C">
        <w:tblPrEx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9322" w:type="dxa"/>
            <w:gridSpan w:val="2"/>
          </w:tcPr>
          <w:p w14:paraId="41336C38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 xml:space="preserve">Pracovisko: </w:t>
            </w:r>
            <w:r w:rsidRPr="00B04FA5">
              <w:rPr>
                <w:rFonts w:eastAsia="Calibri" w:cstheme="minorHAnsi"/>
                <w:bCs/>
                <w:sz w:val="18"/>
                <w:szCs w:val="18"/>
              </w:rPr>
              <w:t>Katedra psychológie, Bratislava</w:t>
            </w:r>
            <w:r w:rsidRPr="00B04FA5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A4BFE" w:rsidRPr="007A4BFE" w14:paraId="0E6C89D7" w14:textId="77777777" w:rsidTr="0053140C">
        <w:tblPrEx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4110" w:type="dxa"/>
          </w:tcPr>
          <w:p w14:paraId="554C0C8C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Kód predmetu: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0-1981d</w:t>
            </w:r>
          </w:p>
        </w:tc>
        <w:tc>
          <w:tcPr>
            <w:tcW w:w="5212" w:type="dxa"/>
          </w:tcPr>
          <w:p w14:paraId="618A36FE" w14:textId="423613F8" w:rsidR="007A4BFE" w:rsidRPr="00B04FA5" w:rsidRDefault="007A4BFE" w:rsidP="007A4BFE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 xml:space="preserve">Názov predmetu: </w:t>
            </w:r>
            <w:r w:rsidRPr="00B04FA5">
              <w:rPr>
                <w:rFonts w:eastAsia="Calibri" w:cstheme="minorHAnsi"/>
                <w:sz w:val="18"/>
                <w:szCs w:val="18"/>
              </w:rPr>
              <w:t>Bakalárska práca</w:t>
            </w:r>
          </w:p>
        </w:tc>
      </w:tr>
      <w:tr w:rsidR="007A4BFE" w:rsidRPr="007A4BFE" w14:paraId="4DB146B3" w14:textId="77777777" w:rsidTr="00EA770F">
        <w:tblPrEx>
          <w:tblLook w:val="00A0" w:firstRow="1" w:lastRow="0" w:firstColumn="1" w:lastColumn="0" w:noHBand="0" w:noVBand="0"/>
        </w:tblPrEx>
        <w:trPr>
          <w:trHeight w:val="362"/>
        </w:trPr>
        <w:tc>
          <w:tcPr>
            <w:tcW w:w="9322" w:type="dxa"/>
            <w:gridSpan w:val="2"/>
          </w:tcPr>
          <w:p w14:paraId="507F5821" w14:textId="7F282AD5" w:rsidR="007A4BFE" w:rsidRPr="00B04FA5" w:rsidRDefault="007A4BFE" w:rsidP="007A4BFE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Druh, rozsah a metóda vzdelávacích činností: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 Povinný predmet, konzultácie s vedúcim bakalárskej práce resp. školiteľom, individuálne alebo v malej skupinke, vyhľadávanie a štúdium vhodnej literatúry, </w:t>
            </w:r>
            <w:r w:rsidR="002F59D8" w:rsidRPr="00B04FA5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aktívna účasť študenta na konzultáciách. </w:t>
            </w:r>
          </w:p>
          <w:p w14:paraId="4064C0D5" w14:textId="77777777" w:rsidR="007A4BFE" w:rsidRPr="00B04FA5" w:rsidRDefault="007A4BFE" w:rsidP="007A4BFE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 xml:space="preserve">Spracovávanie dostupných a relevantných odborných, vedeckých materiálov k téme bakalárskej práce s usmernením školiteľa. Zapracovávanie pripomienok školiteľa. V prípade empirického skúmania v teréne zohľadňovať odporúčania školiteľa vrátane etických zásad. </w:t>
            </w:r>
          </w:p>
          <w:p w14:paraId="36AC9CC1" w14:textId="77777777" w:rsidR="007A4BFE" w:rsidRPr="00B04FA5" w:rsidRDefault="007A4BFE" w:rsidP="007A4BFE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 xml:space="preserve">Celková hodinová dotácia 250 hod, rozdelená individuálne podľa potrieb študenta. </w:t>
            </w:r>
          </w:p>
          <w:p w14:paraId="744672DC" w14:textId="77777777" w:rsidR="004F1080" w:rsidRPr="00B04FA5" w:rsidRDefault="004F1080" w:rsidP="007A4BFE">
            <w:pPr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A4BFE" w:rsidRPr="007A4BFE" w14:paraId="78C3B3E2" w14:textId="77777777" w:rsidTr="00EA770F">
        <w:tblPrEx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9322" w:type="dxa"/>
            <w:gridSpan w:val="2"/>
          </w:tcPr>
          <w:p w14:paraId="24F226B5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Počet kreditov: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10 kreditov </w:t>
            </w:r>
          </w:p>
        </w:tc>
      </w:tr>
      <w:tr w:rsidR="007A4BFE" w:rsidRPr="007A4BFE" w14:paraId="49F8B20C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06D8E5E8" w14:textId="2BAA4E21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Odporúčaný semester/trimester štúdia: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98732D" w:rsidRPr="00B04FA5">
              <w:rPr>
                <w:rFonts w:eastAsia="Calibri" w:cstheme="minorHAnsi"/>
                <w:sz w:val="18"/>
                <w:szCs w:val="18"/>
              </w:rPr>
              <w:t>6</w:t>
            </w:r>
            <w:r w:rsidRPr="00B04FA5">
              <w:rPr>
                <w:rFonts w:eastAsia="Calibri" w:cstheme="minorHAnsi"/>
                <w:sz w:val="18"/>
                <w:szCs w:val="18"/>
              </w:rPr>
              <w:t>. semester</w:t>
            </w:r>
          </w:p>
        </w:tc>
      </w:tr>
      <w:tr w:rsidR="007A4BFE" w:rsidRPr="007A4BFE" w14:paraId="1B8191A4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64D35C1C" w14:textId="731A7C4F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Stupeň štúdia: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1. stupeň</w:t>
            </w:r>
            <w:r w:rsidR="0098732D" w:rsidRPr="00B04FA5">
              <w:rPr>
                <w:rFonts w:eastAsia="Calibri" w:cstheme="minorHAnsi"/>
                <w:sz w:val="18"/>
                <w:szCs w:val="18"/>
              </w:rPr>
              <w:t xml:space="preserve"> (bakalársky)</w:t>
            </w:r>
          </w:p>
        </w:tc>
      </w:tr>
      <w:tr w:rsidR="007A4BFE" w:rsidRPr="007A4BFE" w14:paraId="7BE31100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6F6474D5" w14:textId="0EBAD95C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Podmieňujúce predmety: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Všetky povinné predmety v rámci bakalárskeho štúdia.</w:t>
            </w:r>
          </w:p>
        </w:tc>
      </w:tr>
      <w:tr w:rsidR="007A4BFE" w:rsidRPr="007A4BFE" w14:paraId="14D19905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5110367E" w14:textId="77777777" w:rsidR="007A4BFE" w:rsidRPr="00B04FA5" w:rsidRDefault="007A4BFE" w:rsidP="007A4BFE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Podmienky na absolvovanie predmetu:</w:t>
            </w:r>
          </w:p>
          <w:p w14:paraId="76076599" w14:textId="77777777" w:rsidR="007A4BFE" w:rsidRPr="00B04FA5" w:rsidRDefault="007A4BFE" w:rsidP="007A4BFE">
            <w:pPr>
              <w:jc w:val="both"/>
              <w:rPr>
                <w:rFonts w:eastAsia="Calibri" w:cstheme="minorHAnsi"/>
                <w:bCs/>
                <w:sz w:val="18"/>
                <w:szCs w:val="18"/>
              </w:rPr>
            </w:pPr>
            <w:r w:rsidRPr="00B04FA5">
              <w:rPr>
                <w:rFonts w:eastAsia="Calibri" w:cstheme="minorHAnsi"/>
                <w:bCs/>
                <w:sz w:val="18"/>
                <w:szCs w:val="18"/>
              </w:rPr>
              <w:t xml:space="preserve">Vypracovanie bakalárskej práce so všetkými náležitými časťami podľa smernice VŠ, odovzdanie práce schválenej školiteľom. </w:t>
            </w:r>
          </w:p>
        </w:tc>
      </w:tr>
      <w:tr w:rsidR="007A4BFE" w:rsidRPr="007A4BFE" w14:paraId="1FED1468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47E800CD" w14:textId="77777777" w:rsidR="007A4BFE" w:rsidRPr="00B04FA5" w:rsidRDefault="007A4BFE" w:rsidP="007A4BFE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Výsledky vzdelávania: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tbl>
            <w:tblPr>
              <w:tblStyle w:val="Mriekatabuky11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725"/>
              <w:gridCol w:w="1545"/>
              <w:gridCol w:w="1998"/>
            </w:tblGrid>
            <w:tr w:rsidR="007A4BFE" w:rsidRPr="00B04FA5" w14:paraId="3714B82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383DA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Výstup</w:t>
                  </w:r>
                </w:p>
              </w:tc>
              <w:tc>
                <w:tcPr>
                  <w:tcW w:w="4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611B2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Deskriptor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1A8CB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Forma</w:t>
                  </w:r>
                </w:p>
                <w:p w14:paraId="50252007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A93CB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Metóda hodnotenia / overenia VV: spolu 100 bodov</w:t>
                  </w:r>
                </w:p>
              </w:tc>
            </w:tr>
            <w:tr w:rsidR="007A4BFE" w:rsidRPr="00B04FA5" w14:paraId="55B4FB7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87440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VV1</w:t>
                  </w:r>
                </w:p>
              </w:tc>
              <w:tc>
                <w:tcPr>
                  <w:tcW w:w="4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07FCF" w14:textId="77777777" w:rsidR="007A4BFE" w:rsidRPr="00B04FA5" w:rsidRDefault="007A4BFE" w:rsidP="007A4BF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bCs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  <w:t xml:space="preserve">Zameranie na vedomosti: </w:t>
                  </w:r>
                </w:p>
                <w:p w14:paraId="53F409C1" w14:textId="77777777" w:rsidR="007A4BFE" w:rsidRPr="00B04FA5" w:rsidRDefault="007A4BFE" w:rsidP="007A4BFE">
                  <w:pPr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Nadobudnutie informácií potrebných pre spracovanie zvolenej témy bakalárskej práce. Študent získava informácie nielen tie, ktoré boli a sú súčasťou jeho bakalárskeho štúdia, ale aj nad jeho rámec, z prístupných odborných a vedeckých zdrojov relevantných k téme  z domácej aj zahraničnej literatúry.</w:t>
                  </w:r>
                </w:p>
                <w:p w14:paraId="54271DFC" w14:textId="77777777" w:rsidR="007A4BFE" w:rsidRPr="00B04FA5" w:rsidRDefault="007A4BFE" w:rsidP="007A4BFE">
                  <w:pPr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Vedomosti sa týkajú nielen informácií o danej oblasti, ale aj spôsobov, postupov jej skúmania, teda vedomosti procesuálneho charakteru (</w:t>
                  </w:r>
                  <w:proofErr w:type="spellStart"/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know</w:t>
                  </w:r>
                  <w:proofErr w:type="spellEnd"/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how</w:t>
                  </w:r>
                  <w:proofErr w:type="spellEnd"/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).</w:t>
                  </w:r>
                </w:p>
                <w:p w14:paraId="7BB62376" w14:textId="77777777" w:rsidR="007A4BFE" w:rsidRPr="00B04FA5" w:rsidRDefault="007A4BFE" w:rsidP="007A4BFE">
                  <w:pPr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B5AAF" w14:textId="77777777" w:rsidR="007A4BFE" w:rsidRPr="00B04FA5" w:rsidRDefault="007A4BFE" w:rsidP="007A4BFE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  <w:t xml:space="preserve">Samoštúdium + konzultácie so školiteľom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2A5F2" w14:textId="77777777" w:rsidR="007A4BFE" w:rsidRPr="00B04FA5" w:rsidRDefault="007A4BFE" w:rsidP="007A4BFE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  <w:t>Bakalárska práca (max. 40 bodov), % úspešnosti 61 % - 24 bodov</w:t>
                  </w:r>
                </w:p>
              </w:tc>
            </w:tr>
            <w:tr w:rsidR="007A4BFE" w:rsidRPr="00B04FA5" w14:paraId="243231C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11506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VV2</w:t>
                  </w:r>
                </w:p>
              </w:tc>
              <w:tc>
                <w:tcPr>
                  <w:tcW w:w="4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05182" w14:textId="77777777" w:rsidR="007A4BFE" w:rsidRPr="00B04FA5" w:rsidRDefault="007A4BFE" w:rsidP="007A4BF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</w:pPr>
                  <w:r w:rsidRPr="00B04FA5"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  <w:t>Zameranie na zručnosti:</w:t>
                  </w:r>
                </w:p>
                <w:p w14:paraId="5BB3C942" w14:textId="77777777" w:rsidR="007A4BFE" w:rsidRPr="00B04FA5" w:rsidRDefault="007A4BFE" w:rsidP="007A4BFE">
                  <w:pPr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Zručnosť zbierať relevantné informácie, navzájom ich porovnávať, triediť, posúdiť ich podobnosť, rozdielnosť, zhodnotiť stupeň poznania v danej oblasti v súčasnosti na rozdiel od minulosti.</w:t>
                  </w:r>
                </w:p>
                <w:p w14:paraId="1B3CCB6F" w14:textId="77777777" w:rsidR="007A4BFE" w:rsidRPr="00B04FA5" w:rsidRDefault="007A4BFE" w:rsidP="007A4BFE">
                  <w:pPr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 xml:space="preserve">Zručnosť definovať ústredné pojmy práce, klásť otázky, formulovať problémy, objasniť úroveň ich riešenia v odbornej a vedeckej literatúre prípadne prispieť svojim dielom v rámci vlastného empirického skúmania. Zručnosť interpretovať výsledky iných autorov prípadne vlastného empirického bádania, diskutovať o nich. </w:t>
                  </w:r>
                </w:p>
                <w:p w14:paraId="06552EBB" w14:textId="77777777" w:rsidR="007A4BFE" w:rsidRPr="00B04FA5" w:rsidRDefault="007A4BFE" w:rsidP="007A4BF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6167" w14:textId="77777777" w:rsidR="007A4BFE" w:rsidRPr="00B04FA5" w:rsidRDefault="007A4BFE" w:rsidP="007A4BFE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  <w:t>Samoštúdium + konzultácie so školiteľom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B5900" w14:textId="77777777" w:rsidR="007A4BFE" w:rsidRPr="00B04FA5" w:rsidRDefault="007A4BFE" w:rsidP="007A4BFE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  <w:t>Bakalárska práca (max. 30 bodov), % úspešnosti 61 % - 18 bodov</w:t>
                  </w:r>
                </w:p>
              </w:tc>
            </w:tr>
            <w:tr w:rsidR="007A4BFE" w:rsidRPr="00B04FA5" w14:paraId="61F5AB12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BDABC" w14:textId="77777777" w:rsidR="007A4BFE" w:rsidRPr="00B04FA5" w:rsidRDefault="007A4BFE" w:rsidP="007A4BFE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/>
                      <w:color w:val="000000"/>
                      <w:sz w:val="18"/>
                      <w:szCs w:val="18"/>
                    </w:rPr>
                    <w:t>VV3</w:t>
                  </w:r>
                </w:p>
              </w:tc>
              <w:tc>
                <w:tcPr>
                  <w:tcW w:w="4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306B" w14:textId="77777777" w:rsidR="007A4BFE" w:rsidRPr="00B04FA5" w:rsidRDefault="007A4BFE" w:rsidP="007A4BF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</w:pPr>
                  <w:r w:rsidRPr="00B04FA5"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8"/>
                      <w:szCs w:val="18"/>
                      <w:lang w:eastAsia="zh-CN" w:bidi="hi-IN"/>
                    </w:rPr>
                    <w:t>Zameranie na kompetentnosti:</w:t>
                  </w:r>
                </w:p>
                <w:p w14:paraId="6F9555B4" w14:textId="77777777" w:rsidR="007A4BFE" w:rsidRPr="00B04FA5" w:rsidRDefault="007A4BFE" w:rsidP="007A4BFE">
                  <w:pPr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Tvorivo spracovať odborné, vedecké poznatky, zistenia k zvolenej téme dostupné z domácich   a zahraničných zdrojov v rozsahu asi 40 normostrán.</w:t>
                  </w:r>
                </w:p>
                <w:p w14:paraId="4F05DC9E" w14:textId="77777777" w:rsidR="007A4BFE" w:rsidRPr="00B04FA5" w:rsidRDefault="007A4BFE" w:rsidP="007A4BFE">
                  <w:pPr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Existujú dve možnosti ako môže študent preukázať svoje kompetentnosti:</w:t>
                  </w:r>
                </w:p>
                <w:p w14:paraId="2EED678D" w14:textId="77777777" w:rsidR="007A4BFE" w:rsidRPr="00B04FA5" w:rsidRDefault="007A4BFE" w:rsidP="007A4BFE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Študent vypracuje prehľadovú prácu (bez vlastného empirického skúmania), ktorej dôležitou súčasťou je deskripcia výskumov iných autorov a podrobnejší opis niektorých najvýznamnejších alebo osobitne zaujímavých výskumov z danej oblasti. Tvorivo spracuje  a zhodnotí uvedené zistenia a ich prínos resp. nedostatky v rámci skúmania danej problematiky.</w:t>
                  </w:r>
                </w:p>
                <w:p w14:paraId="64AA5101" w14:textId="77777777" w:rsidR="007A4BFE" w:rsidRPr="00B04FA5" w:rsidRDefault="007A4BFE" w:rsidP="007A4BFE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lastRenderedPageBreak/>
                    <w:t>Študent vypracuje teoreticko-empirickú prácu, v ktorej po teoretickom úvode naplánuje, realizuje, prezentuje výsledky a zhodnotí vlastné empirické skúmanie, ktoré v diskusii porovná s výsledkami iných autorov a stavom skúmania danej problematiky. Navrhuje možnosti ďalšieho bádania.</w:t>
                  </w:r>
                </w:p>
                <w:p w14:paraId="74F289D2" w14:textId="77777777" w:rsidR="007A4BFE" w:rsidRPr="00B04FA5" w:rsidRDefault="007A4BFE" w:rsidP="007A4BFE">
                  <w:pPr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E442A" w14:textId="77777777" w:rsidR="007A4BFE" w:rsidRPr="00B04FA5" w:rsidRDefault="007A4BFE" w:rsidP="007A4BFE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  <w:lastRenderedPageBreak/>
                    <w:t>Samoštúdium + konzultácie so školiteľom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9B0F0" w14:textId="77777777" w:rsidR="007A4BFE" w:rsidRPr="00B04FA5" w:rsidRDefault="007A4BFE" w:rsidP="007A4BFE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bCs/>
                      <w:color w:val="000000"/>
                      <w:sz w:val="18"/>
                      <w:szCs w:val="18"/>
                    </w:rPr>
                    <w:t>Bakalárska práca (max. 30 bodov), % úspešnosti 61 % - 18 bodov</w:t>
                  </w:r>
                </w:p>
              </w:tc>
            </w:tr>
          </w:tbl>
          <w:p w14:paraId="28B0C11C" w14:textId="77777777" w:rsidR="007A4BFE" w:rsidRPr="00B04FA5" w:rsidRDefault="007A4BFE" w:rsidP="007A4BFE">
            <w:pPr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A4BFE" w:rsidRPr="007A4BFE" w14:paraId="76930F0F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6534AD53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lastRenderedPageBreak/>
              <w:t>Stručná osnova predmetu: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30EA374C" w14:textId="77777777" w:rsidR="007A4BFE" w:rsidRPr="00B04FA5" w:rsidRDefault="007A4BFE" w:rsidP="00463C40">
            <w:pPr>
              <w:pStyle w:val="Odsekzoznamu"/>
              <w:numPr>
                <w:ilvl w:val="0"/>
                <w:numId w:val="2"/>
              </w:num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>Voľba témy bakalárskej práce.</w:t>
            </w:r>
          </w:p>
          <w:p w14:paraId="245838E6" w14:textId="77777777" w:rsidR="007A4BFE" w:rsidRPr="00B04FA5" w:rsidRDefault="007A4BFE" w:rsidP="00463C40">
            <w:pPr>
              <w:pStyle w:val="Odsekzoznamu"/>
              <w:numPr>
                <w:ilvl w:val="0"/>
                <w:numId w:val="2"/>
              </w:num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>Výber relevantnej literatúry z domova i zahraničia vrátane cudzojazyčnej.</w:t>
            </w:r>
          </w:p>
          <w:p w14:paraId="678BA4AC" w14:textId="77777777" w:rsidR="007A4BFE" w:rsidRPr="00B04FA5" w:rsidRDefault="007A4BFE" w:rsidP="00463C40">
            <w:pPr>
              <w:pStyle w:val="Odsekzoznamu"/>
              <w:numPr>
                <w:ilvl w:val="0"/>
                <w:numId w:val="2"/>
              </w:num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>Pri prehľadovej práci: Úvod do problematiky, história skúmania, určenie problému, cieľa, opis postupov skúmania problému, podrobný opis analyzovaných štúdií, komparácia a zhodnotenie štúdií, diskusia o implikáciách prehľadovej práce.</w:t>
            </w:r>
          </w:p>
          <w:p w14:paraId="73394182" w14:textId="77777777" w:rsidR="007A4BFE" w:rsidRPr="00B04FA5" w:rsidRDefault="007A4BFE" w:rsidP="00463C40">
            <w:pPr>
              <w:pStyle w:val="Odsekzoznamu"/>
              <w:numPr>
                <w:ilvl w:val="0"/>
                <w:numId w:val="2"/>
              </w:num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>Pri teoreticko-empirickej práci: : Teoretické východiská, zaujímavé zistenia iných autorov vrátane formulácie cieľov, problémov (prípadne hypotéz) vlastného bádania (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Introduction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). Nasledujú metodologické otázky vlastného skúmania (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Methods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), prezentácia vlastných výsledkov (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Results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) a napokon diskusiu (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Discussion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). Pri kvantitatívnom skúmaní autora je odporúčaná uvedená štruktúra práce IMRAD, pri kvalitatívnom spracovaní dát je štruktúra voľnejšia – vzhľadom na potreby optimálneho spracovania témy.</w:t>
            </w:r>
          </w:p>
        </w:tc>
      </w:tr>
      <w:tr w:rsidR="007A4BFE" w:rsidRPr="007A4BFE" w14:paraId="59EC514B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02B5B5F4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Odporúčaná literatúra: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1011FCBA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Jurásová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 xml:space="preserve">, K. I. – 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Dédová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, M., 2015:  Manuál k vypracovaniu záverečných a kvalifikačných prác. Trnava, FFTU.</w:t>
            </w:r>
          </w:p>
          <w:p w14:paraId="1D19300F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Katuščák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 xml:space="preserve">, D., 2013, Ako písať záverečné a kvalifikačné práce, 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Enigma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.</w:t>
            </w:r>
          </w:p>
          <w:p w14:paraId="6A557AAD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Staroňová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 xml:space="preserve">, K., 2011, Vedecké písanie, Osveta. </w:t>
            </w:r>
          </w:p>
          <w:p w14:paraId="225C51A6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Meško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 xml:space="preserve">, D., 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Katuščák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 xml:space="preserve">, D., 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Findra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 xml:space="preserve"> a kol., 2005, Akademická príručka. Martin: Osveta.</w:t>
            </w:r>
          </w:p>
          <w:p w14:paraId="6C5026C5" w14:textId="77777777" w:rsidR="00824E83" w:rsidRPr="00B04FA5" w:rsidRDefault="00824E83" w:rsidP="007A4BFE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A4BFE" w:rsidRPr="007A4BFE" w14:paraId="0C27DCE7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59F7A2A8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Jazyk, ktorého znalosť je potrebná na absolvovanie predmetu: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slovenský jazyk</w:t>
            </w:r>
          </w:p>
        </w:tc>
      </w:tr>
      <w:tr w:rsidR="007A4BFE" w:rsidRPr="007A4BFE" w14:paraId="1EF5D2C3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70524389" w14:textId="1B3ECC6B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Poznámky: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824E83" w:rsidRPr="00B04FA5">
              <w:rPr>
                <w:rFonts w:eastAsia="Calibri" w:cstheme="minorHAnsi"/>
                <w:sz w:val="18"/>
                <w:szCs w:val="18"/>
              </w:rPr>
              <w:t xml:space="preserve">povinný predmet </w:t>
            </w:r>
          </w:p>
        </w:tc>
      </w:tr>
      <w:tr w:rsidR="007A4BFE" w:rsidRPr="007A4BFE" w14:paraId="583CC58F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57A33D35" w14:textId="77777777" w:rsidR="007A4BFE" w:rsidRPr="00B04FA5" w:rsidRDefault="007A4BFE" w:rsidP="007A4BFE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 xml:space="preserve">Hodnotenie predmetov  </w:t>
            </w:r>
          </w:p>
          <w:p w14:paraId="2C700733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sz w:val="18"/>
                <w:szCs w:val="18"/>
              </w:rPr>
              <w:t xml:space="preserve">Celkový počet hodnotených študentov: </w:t>
            </w:r>
          </w:p>
          <w:tbl>
            <w:tblPr>
              <w:tblStyle w:val="Mriekatabuky11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7A4BFE" w:rsidRPr="00B04FA5" w14:paraId="340FDAC4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10D69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C65D6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BA3C6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C562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F345D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8C5FB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FX</w:t>
                  </w:r>
                </w:p>
              </w:tc>
            </w:tr>
            <w:tr w:rsidR="007A4BFE" w:rsidRPr="00B04FA5" w14:paraId="49650B30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86DF7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F88A0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35%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518C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37%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A1F3B" w14:textId="77777777" w:rsidR="007A4BFE" w:rsidRPr="00B04FA5" w:rsidRDefault="007A4BFE" w:rsidP="007A4BFE">
                  <w:pPr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 xml:space="preserve">       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FD30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A0F2D" w14:textId="77777777" w:rsidR="007A4BFE" w:rsidRPr="00B04FA5" w:rsidRDefault="007A4BFE" w:rsidP="007A4BFE">
                  <w:pPr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B04FA5">
                    <w:rPr>
                      <w:rFonts w:eastAsia="Calibri" w:cstheme="minorHAnsi"/>
                      <w:sz w:val="18"/>
                      <w:szCs w:val="18"/>
                    </w:rPr>
                    <w:t>0%</w:t>
                  </w:r>
                </w:p>
              </w:tc>
            </w:tr>
          </w:tbl>
          <w:p w14:paraId="446B021C" w14:textId="77777777" w:rsidR="007A4BFE" w:rsidRPr="00B04FA5" w:rsidRDefault="007A4BFE" w:rsidP="007A4BFE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A4BFE" w:rsidRPr="007A4BFE" w14:paraId="3152C0E3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2E73F38A" w14:textId="77777777" w:rsidR="007A4BFE" w:rsidRPr="00B04FA5" w:rsidRDefault="007A4BFE" w:rsidP="007A4BFE">
            <w:pPr>
              <w:tabs>
                <w:tab w:val="left" w:pos="1530"/>
              </w:tabs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sz w:val="18"/>
                <w:szCs w:val="18"/>
              </w:rPr>
              <w:t>Vyučujúci: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vedúci záverečnej práce</w:t>
            </w:r>
          </w:p>
        </w:tc>
      </w:tr>
      <w:tr w:rsidR="007A4BFE" w:rsidRPr="007A4BFE" w14:paraId="7FB81FEE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4EBE9071" w14:textId="77777777" w:rsidR="007A4BFE" w:rsidRPr="00B04FA5" w:rsidRDefault="007A4BFE" w:rsidP="007A4BFE">
            <w:pPr>
              <w:tabs>
                <w:tab w:val="left" w:pos="1530"/>
              </w:tabs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bCs/>
                <w:sz w:val="18"/>
                <w:szCs w:val="18"/>
              </w:rPr>
              <w:t>Dátum poslednej zmeny: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24.08.2023</w:t>
            </w:r>
          </w:p>
        </w:tc>
      </w:tr>
      <w:tr w:rsidR="007A4BFE" w:rsidRPr="007A4BFE" w14:paraId="0BB74D9E" w14:textId="77777777" w:rsidTr="00EA770F">
        <w:tblPrEx>
          <w:tblLook w:val="00A0" w:firstRow="1" w:lastRow="0" w:firstColumn="1" w:lastColumn="0" w:noHBand="0" w:noVBand="0"/>
        </w:tblPrEx>
        <w:tc>
          <w:tcPr>
            <w:tcW w:w="9322" w:type="dxa"/>
            <w:gridSpan w:val="2"/>
          </w:tcPr>
          <w:p w14:paraId="55ADE858" w14:textId="77777777" w:rsidR="007A4BFE" w:rsidRPr="00B04FA5" w:rsidRDefault="007A4BFE" w:rsidP="007A4BFE">
            <w:pPr>
              <w:tabs>
                <w:tab w:val="left" w:pos="1530"/>
              </w:tabs>
              <w:rPr>
                <w:rFonts w:eastAsia="Calibri" w:cstheme="minorHAnsi"/>
                <w:sz w:val="18"/>
                <w:szCs w:val="18"/>
              </w:rPr>
            </w:pPr>
            <w:r w:rsidRPr="00B04FA5">
              <w:rPr>
                <w:rFonts w:eastAsia="Calibri" w:cstheme="minorHAnsi"/>
                <w:b/>
                <w:bCs/>
                <w:sz w:val="18"/>
                <w:szCs w:val="18"/>
              </w:rPr>
              <w:t>Schválil:</w:t>
            </w:r>
            <w:r w:rsidRPr="00B04FA5">
              <w:rPr>
                <w:rFonts w:eastAsia="Calibri" w:cstheme="minorHAnsi"/>
                <w:sz w:val="18"/>
                <w:szCs w:val="18"/>
              </w:rPr>
              <w:t xml:space="preserve">  doc. PhDr. Eva </w:t>
            </w:r>
            <w:proofErr w:type="spellStart"/>
            <w:r w:rsidRPr="00B04FA5">
              <w:rPr>
                <w:rFonts w:eastAsia="Calibri" w:cstheme="minorHAnsi"/>
                <w:sz w:val="18"/>
                <w:szCs w:val="18"/>
              </w:rPr>
              <w:t>Šovčíková</w:t>
            </w:r>
            <w:proofErr w:type="spellEnd"/>
            <w:r w:rsidRPr="00B04FA5">
              <w:rPr>
                <w:rFonts w:eastAsia="Calibri" w:cstheme="minorHAnsi"/>
                <w:sz w:val="18"/>
                <w:szCs w:val="18"/>
              </w:rPr>
              <w:t>, PhD.</w:t>
            </w:r>
          </w:p>
        </w:tc>
      </w:tr>
    </w:tbl>
    <w:p w14:paraId="28A872C9" w14:textId="77777777" w:rsidR="00587BD7" w:rsidRPr="00B30AD2" w:rsidRDefault="00587BD7" w:rsidP="00587BD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8A872CA" w14:textId="77777777" w:rsidR="00587BD7" w:rsidRPr="00B30AD2" w:rsidRDefault="00587BD7" w:rsidP="00587BD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8A872CB" w14:textId="77777777" w:rsidR="005104BC" w:rsidRPr="00B30AD2" w:rsidRDefault="005104BC">
      <w:pPr>
        <w:rPr>
          <w:rFonts w:cstheme="minorHAnsi"/>
          <w:sz w:val="20"/>
          <w:szCs w:val="20"/>
        </w:rPr>
      </w:pPr>
    </w:p>
    <w:sectPr w:rsidR="005104BC" w:rsidRPr="00B3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0FE"/>
    <w:multiLevelType w:val="hybridMultilevel"/>
    <w:tmpl w:val="A5CAB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4969"/>
    <w:multiLevelType w:val="hybridMultilevel"/>
    <w:tmpl w:val="19FA0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02675">
    <w:abstractNumId w:val="0"/>
  </w:num>
  <w:num w:numId="2" w16cid:durableId="196099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DD"/>
    <w:rsid w:val="000434AA"/>
    <w:rsid w:val="0004726F"/>
    <w:rsid w:val="0009676E"/>
    <w:rsid w:val="00116011"/>
    <w:rsid w:val="001207A2"/>
    <w:rsid w:val="001B3659"/>
    <w:rsid w:val="00247E00"/>
    <w:rsid w:val="002513B1"/>
    <w:rsid w:val="002D2B79"/>
    <w:rsid w:val="002F59D8"/>
    <w:rsid w:val="00305EAB"/>
    <w:rsid w:val="00463C40"/>
    <w:rsid w:val="004806DF"/>
    <w:rsid w:val="00495BE5"/>
    <w:rsid w:val="004B7712"/>
    <w:rsid w:val="004F1080"/>
    <w:rsid w:val="00502C9B"/>
    <w:rsid w:val="005104BC"/>
    <w:rsid w:val="0053140C"/>
    <w:rsid w:val="005430A3"/>
    <w:rsid w:val="00587BD7"/>
    <w:rsid w:val="005A1A4C"/>
    <w:rsid w:val="0066032A"/>
    <w:rsid w:val="007423EB"/>
    <w:rsid w:val="00764025"/>
    <w:rsid w:val="00781C56"/>
    <w:rsid w:val="007A4BFE"/>
    <w:rsid w:val="00824E83"/>
    <w:rsid w:val="00827D6D"/>
    <w:rsid w:val="0087780D"/>
    <w:rsid w:val="0098732D"/>
    <w:rsid w:val="009D72CF"/>
    <w:rsid w:val="00A7687A"/>
    <w:rsid w:val="00AC4BF3"/>
    <w:rsid w:val="00AD16F4"/>
    <w:rsid w:val="00B04FA5"/>
    <w:rsid w:val="00B30AD2"/>
    <w:rsid w:val="00BC71FD"/>
    <w:rsid w:val="00C363D2"/>
    <w:rsid w:val="00CA2109"/>
    <w:rsid w:val="00CC5514"/>
    <w:rsid w:val="00CF29DD"/>
    <w:rsid w:val="00D61B0A"/>
    <w:rsid w:val="00DD4812"/>
    <w:rsid w:val="00DE3E92"/>
    <w:rsid w:val="00DE7ECF"/>
    <w:rsid w:val="00E354E6"/>
    <w:rsid w:val="00E8370F"/>
    <w:rsid w:val="00EC24DE"/>
    <w:rsid w:val="00F22C09"/>
    <w:rsid w:val="00F24A33"/>
    <w:rsid w:val="00F26284"/>
    <w:rsid w:val="00F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7276"/>
  <w15:chartTrackingRefBased/>
  <w15:docId w15:val="{2DC9E49D-B6D3-49AE-9D72-A3648886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B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8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02C9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806DF"/>
    <w:rPr>
      <w:color w:val="0563C1" w:themeColor="hyperlink"/>
      <w:u w:val="single"/>
    </w:rPr>
  </w:style>
  <w:style w:type="paragraph" w:customStyle="1" w:styleId="Standard">
    <w:name w:val="Standard"/>
    <w:rsid w:val="009D72CF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table" w:customStyle="1" w:styleId="Mriekatabuky11">
    <w:name w:val="Mriežka tabuľky11"/>
    <w:basedOn w:val="Normlnatabuka"/>
    <w:next w:val="Mriekatabuky"/>
    <w:uiPriority w:val="59"/>
    <w:rsid w:val="007A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39</cp:revision>
  <dcterms:created xsi:type="dcterms:W3CDTF">2023-03-21T09:56:00Z</dcterms:created>
  <dcterms:modified xsi:type="dcterms:W3CDTF">2023-09-14T11:22:00Z</dcterms:modified>
</cp:coreProperties>
</file>